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right="100" w:rightChars="50" w:firstLine="600" w:firstLineChars="200"/>
        <w:jc w:val="both"/>
        <w:rPr>
          <w:rFonts w:eastAsia="微软雅黑"/>
          <w:sz w:val="30"/>
          <w:szCs w:val="30"/>
          <w:shd w:val="clear" w:color="auto" w:fill="FFFFFF"/>
        </w:rPr>
      </w:pPr>
      <w:bookmarkStart w:id="2" w:name="_GoBack"/>
      <w:bookmarkEnd w:id="2"/>
      <w:bookmarkStart w:id="0" w:name="OLE_LINK2"/>
      <w:r>
        <w:rPr>
          <w:rFonts w:eastAsia="微软雅黑"/>
          <w:sz w:val="30"/>
          <w:szCs w:val="30"/>
          <w:shd w:val="clear" w:color="auto" w:fill="FFFFFF"/>
        </w:rPr>
        <w:t>Neijiang Normal University, founded originatedly in 1956, is one of the premier higher educational institutes for teacher education under the Sichuan Educational Commission &amp; Education Bureau in Sichuan Province of China. It is located in the city of Neijiang, hometown of world-famous Chinese painter Zhang Daqian, and a beautiful cultural heritage city in western China.</w:t>
      </w:r>
    </w:p>
    <w:p>
      <w:pPr>
        <w:spacing w:line="360" w:lineRule="auto"/>
        <w:ind w:right="100" w:rightChars="50" w:firstLine="600" w:firstLineChars="200"/>
        <w:jc w:val="both"/>
        <w:rPr>
          <w:rStyle w:val="7"/>
          <w:rFonts w:eastAsia="微软雅黑"/>
          <w:sz w:val="30"/>
          <w:szCs w:val="30"/>
          <w:shd w:val="clear" w:color="auto" w:fill="FFFFFF"/>
        </w:rPr>
      </w:pPr>
      <w:r>
        <w:rPr>
          <w:rFonts w:eastAsia="微软雅黑"/>
          <w:sz w:val="30"/>
          <w:szCs w:val="30"/>
          <w:shd w:val="clear" w:color="auto" w:fill="FFFFFF"/>
        </w:rPr>
        <w:t xml:space="preserve">In more than half a century, upholding the motto of “Forging ahead in unity, Seeking self-renewal in difficulties”, the university  grows into </w:t>
      </w:r>
      <w:r>
        <w:rPr>
          <w:rFonts w:eastAsia="Times New Roman"/>
          <w:sz w:val="30"/>
          <w:szCs w:val="30"/>
        </w:rPr>
        <w:t>a well-regarded one among the normal universities</w:t>
      </w:r>
      <w:r>
        <w:rPr>
          <w:rFonts w:eastAsiaTheme="minorEastAsia"/>
          <w:sz w:val="30"/>
          <w:szCs w:val="30"/>
        </w:rPr>
        <w:t xml:space="preserve">in the province </w:t>
      </w:r>
      <w:r>
        <w:rPr>
          <w:sz w:val="30"/>
          <w:szCs w:val="30"/>
        </w:rPr>
        <w:t>with over 10 disciplines</w:t>
      </w:r>
      <w:r>
        <w:rPr>
          <w:rFonts w:eastAsia="Times New Roman"/>
          <w:sz w:val="30"/>
          <w:szCs w:val="30"/>
        </w:rPr>
        <w:t xml:space="preserve">, </w:t>
      </w:r>
      <w:r>
        <w:rPr>
          <w:sz w:val="30"/>
          <w:szCs w:val="30"/>
        </w:rPr>
        <w:t>such as</w:t>
      </w:r>
      <w:r>
        <w:rPr>
          <w:rFonts w:eastAsia="Times New Roman"/>
          <w:sz w:val="30"/>
          <w:szCs w:val="30"/>
        </w:rPr>
        <w:t xml:space="preserve"> literature, science, engineering, agriculture, law, pedagogy, management science, history, economics, and art science.</w:t>
      </w:r>
      <w:r>
        <w:rPr>
          <w:rFonts w:eastAsia="微软雅黑"/>
          <w:sz w:val="30"/>
          <w:szCs w:val="30"/>
          <w:shd w:val="clear" w:color="auto" w:fill="FFFFFF"/>
        </w:rPr>
        <w:t>The university offers more than</w:t>
      </w:r>
      <w:r>
        <w:rPr>
          <w:rFonts w:hint="eastAsia" w:eastAsia="微软雅黑"/>
          <w:sz w:val="30"/>
          <w:szCs w:val="30"/>
          <w:shd w:val="clear" w:color="auto" w:fill="FFFFFF"/>
        </w:rPr>
        <w:t xml:space="preserve"> </w:t>
      </w:r>
      <w:r>
        <w:rPr>
          <w:rFonts w:eastAsia="Times New Roman"/>
          <w:sz w:val="30"/>
          <w:szCs w:val="30"/>
        </w:rPr>
        <w:t xml:space="preserve">56 undergraduate </w:t>
      </w:r>
      <w:r>
        <w:rPr>
          <w:rFonts w:eastAsia="微软雅黑"/>
          <w:sz w:val="30"/>
          <w:szCs w:val="30"/>
          <w:shd w:val="clear" w:color="auto" w:fill="FFFFFF"/>
        </w:rPr>
        <w:t>majors in and among 18 departments and schools and serves</w:t>
      </w:r>
      <w:r>
        <w:rPr>
          <w:rStyle w:val="7"/>
          <w:rFonts w:eastAsia="微软雅黑"/>
          <w:sz w:val="30"/>
          <w:szCs w:val="30"/>
          <w:shd w:val="clear" w:color="auto" w:fill="FFFFFF"/>
        </w:rPr>
        <w:t> </w:t>
      </w:r>
      <w:r>
        <w:rPr>
          <w:rFonts w:eastAsia="微软雅黑"/>
          <w:sz w:val="30"/>
          <w:szCs w:val="30"/>
          <w:shd w:val="clear" w:color="auto" w:fill="FFFFFF"/>
        </w:rPr>
        <w:t>nearly</w:t>
      </w:r>
      <w:r>
        <w:rPr>
          <w:rFonts w:hint="eastAsia" w:eastAsia="微软雅黑"/>
          <w:sz w:val="30"/>
          <w:szCs w:val="30"/>
          <w:shd w:val="clear" w:color="auto" w:fill="FFFFFF"/>
        </w:rPr>
        <w:t xml:space="preserve"> </w:t>
      </w:r>
      <w:r>
        <w:rPr>
          <w:rFonts w:eastAsia="微软雅黑"/>
          <w:sz w:val="30"/>
          <w:szCs w:val="30"/>
          <w:shd w:val="clear" w:color="auto" w:fill="FFFFFF"/>
        </w:rPr>
        <w:t>17,000</w:t>
      </w:r>
      <w:r>
        <w:rPr>
          <w:rFonts w:hint="eastAsia" w:eastAsia="微软雅黑"/>
          <w:sz w:val="30"/>
          <w:szCs w:val="30"/>
          <w:shd w:val="clear" w:color="auto" w:fill="FFFFFF"/>
        </w:rPr>
        <w:t xml:space="preserve"> </w:t>
      </w:r>
      <w:r>
        <w:rPr>
          <w:rFonts w:eastAsia="微软雅黑"/>
          <w:sz w:val="30"/>
          <w:szCs w:val="30"/>
          <w:shd w:val="clear" w:color="auto" w:fill="FFFFFF"/>
        </w:rPr>
        <w:t>full-time students.</w:t>
      </w:r>
      <w:r>
        <w:rPr>
          <w:rFonts w:hint="eastAsia" w:eastAsia="微软雅黑"/>
          <w:sz w:val="30"/>
          <w:szCs w:val="30"/>
          <w:shd w:val="clear" w:color="auto" w:fill="FFFFFF"/>
        </w:rPr>
        <w:t xml:space="preserve"> </w:t>
      </w:r>
      <w:r>
        <w:rPr>
          <w:rFonts w:eastAsia="Times New Roman"/>
          <w:sz w:val="30"/>
          <w:szCs w:val="30"/>
        </w:rPr>
        <w:t>A joint postgraduate program</w:t>
      </w:r>
      <w:r>
        <w:rPr>
          <w:rFonts w:hint="eastAsia" w:eastAsiaTheme="minorEastAsia"/>
          <w:sz w:val="30"/>
          <w:szCs w:val="30"/>
        </w:rPr>
        <w:t xml:space="preserve"> </w:t>
      </w:r>
      <w:r>
        <w:rPr>
          <w:rFonts w:eastAsia="Times New Roman"/>
          <w:sz w:val="30"/>
          <w:szCs w:val="30"/>
        </w:rPr>
        <w:t>with Sichuan Normal University</w:t>
      </w:r>
      <w:r>
        <w:rPr>
          <w:rFonts w:hint="eastAsia" w:eastAsiaTheme="minorEastAsia"/>
          <w:sz w:val="30"/>
          <w:szCs w:val="30"/>
        </w:rPr>
        <w:t xml:space="preserve"> </w:t>
      </w:r>
      <w:r>
        <w:rPr>
          <w:rFonts w:eastAsiaTheme="minorEastAsia"/>
          <w:sz w:val="30"/>
          <w:szCs w:val="30"/>
        </w:rPr>
        <w:t>has</w:t>
      </w:r>
      <w:r>
        <w:rPr>
          <w:rFonts w:hint="eastAsia" w:eastAsiaTheme="minorEastAsia"/>
          <w:sz w:val="30"/>
          <w:szCs w:val="30"/>
        </w:rPr>
        <w:t xml:space="preserve"> </w:t>
      </w:r>
      <w:r>
        <w:rPr>
          <w:rFonts w:eastAsia="Times New Roman"/>
          <w:sz w:val="30"/>
          <w:szCs w:val="30"/>
        </w:rPr>
        <w:t xml:space="preserve">been </w:t>
      </w:r>
      <w:r>
        <w:rPr>
          <w:rFonts w:eastAsiaTheme="minorEastAsia"/>
          <w:sz w:val="30"/>
          <w:szCs w:val="30"/>
        </w:rPr>
        <w:t>started</w:t>
      </w:r>
      <w:r>
        <w:rPr>
          <w:rFonts w:hint="eastAsia" w:eastAsiaTheme="minorEastAsia"/>
          <w:sz w:val="30"/>
          <w:szCs w:val="30"/>
        </w:rPr>
        <w:t xml:space="preserve"> </w:t>
      </w:r>
      <w:r>
        <w:rPr>
          <w:rFonts w:eastAsia="Times New Roman"/>
          <w:sz w:val="30"/>
          <w:szCs w:val="30"/>
        </w:rPr>
        <w:t>since 2011.</w:t>
      </w:r>
    </w:p>
    <w:p>
      <w:pPr>
        <w:spacing w:line="360" w:lineRule="auto"/>
        <w:ind w:right="100" w:rightChars="50" w:firstLine="600" w:firstLineChars="200"/>
        <w:jc w:val="both"/>
        <w:rPr>
          <w:rFonts w:eastAsia="微软雅黑"/>
          <w:sz w:val="30"/>
          <w:szCs w:val="30"/>
          <w:shd w:val="clear" w:color="auto" w:fill="FFFFFF"/>
        </w:rPr>
      </w:pPr>
      <w:r>
        <w:rPr>
          <w:rStyle w:val="7"/>
          <w:rFonts w:eastAsia="微软雅黑"/>
          <w:sz w:val="30"/>
          <w:szCs w:val="30"/>
          <w:shd w:val="clear" w:color="auto" w:fill="FFFFFF"/>
        </w:rPr>
        <w:t xml:space="preserve">Members of faculties and staff in the university </w:t>
      </w:r>
      <w:r>
        <w:rPr>
          <w:rFonts w:eastAsia="微软雅黑"/>
          <w:sz w:val="30"/>
          <w:szCs w:val="30"/>
          <w:shd w:val="clear" w:color="auto" w:fill="FFFFFF"/>
        </w:rPr>
        <w:t>are more than 1484,</w:t>
      </w:r>
      <w:r>
        <w:rPr>
          <w:rFonts w:hint="eastAsia" w:eastAsia="微软雅黑"/>
          <w:sz w:val="30"/>
          <w:szCs w:val="30"/>
          <w:shd w:val="clear" w:color="auto" w:fill="FFFFFF"/>
        </w:rPr>
        <w:t xml:space="preserve"> </w:t>
      </w:r>
      <w:r>
        <w:rPr>
          <w:rFonts w:eastAsia="微软雅黑"/>
          <w:sz w:val="30"/>
          <w:szCs w:val="30"/>
          <w:shd w:val="clear" w:color="auto" w:fill="FFFFFF"/>
        </w:rPr>
        <w:t xml:space="preserve">among whom nearly 400 are full or associate professors, </w:t>
      </w:r>
      <w:r>
        <w:rPr>
          <w:rFonts w:eastAsia="Times New Roman"/>
          <w:sz w:val="30"/>
          <w:szCs w:val="30"/>
        </w:rPr>
        <w:t>and 608 with master’s or doctor’s degree,</w:t>
      </w:r>
      <w:r>
        <w:rPr>
          <w:rFonts w:hint="eastAsia" w:eastAsiaTheme="minorEastAsia"/>
          <w:sz w:val="30"/>
          <w:szCs w:val="30"/>
        </w:rPr>
        <w:t xml:space="preserve"> </w:t>
      </w:r>
      <w:r>
        <w:rPr>
          <w:rFonts w:eastAsia="微软雅黑"/>
          <w:sz w:val="30"/>
          <w:szCs w:val="30"/>
          <w:shd w:val="clear" w:color="auto" w:fill="FFFFFF"/>
        </w:rPr>
        <w:t xml:space="preserve">4 are candidates of the academic leaders in Sichuan province. </w:t>
      </w:r>
      <w:r>
        <w:rPr>
          <w:sz w:val="30"/>
          <w:szCs w:val="30"/>
        </w:rPr>
        <w:t xml:space="preserve">Some of the teachers have been recognized as “Model Teacher” or “Model Educator” at the provincial level; and some have been granted the title of “Neijiang’s Elitist” or “Academic Leader of Neijiang”. </w:t>
      </w:r>
      <w:r>
        <w:rPr>
          <w:rFonts w:eastAsia="Times New Roman"/>
          <w:sz w:val="30"/>
          <w:szCs w:val="30"/>
        </w:rPr>
        <w:t>Besides,</w:t>
      </w:r>
      <w:r>
        <w:rPr>
          <w:rFonts w:hint="eastAsia" w:eastAsiaTheme="minorEastAsia"/>
          <w:sz w:val="30"/>
          <w:szCs w:val="30"/>
        </w:rPr>
        <w:t xml:space="preserve"> </w:t>
      </w:r>
      <w:r>
        <w:rPr>
          <w:rFonts w:eastAsia="Times New Roman"/>
          <w:sz w:val="30"/>
          <w:szCs w:val="30"/>
        </w:rPr>
        <w:t xml:space="preserve">more than 200 </w:t>
      </w:r>
      <w:r>
        <w:fldChar w:fldCharType="begin"/>
      </w:r>
      <w:r>
        <w:instrText xml:space="preserve"> HYPERLINK "C:/Users/Administrator/AppData/Local/Youdao/Dict/Application/6.3.69.8341/resultui/frame/javascript:void(0);" </w:instrText>
      </w:r>
      <w:r>
        <w:fldChar w:fldCharType="separate"/>
      </w:r>
      <w:r>
        <w:rPr>
          <w:rFonts w:eastAsia="Times New Roman"/>
          <w:sz w:val="30"/>
          <w:szCs w:val="30"/>
        </w:rPr>
        <w:t>academician</w:t>
      </w:r>
      <w:r>
        <w:rPr>
          <w:rFonts w:eastAsia="Times New Roman"/>
          <w:sz w:val="30"/>
          <w:szCs w:val="30"/>
        </w:rPr>
        <w:fldChar w:fldCharType="end"/>
      </w:r>
      <w:r>
        <w:rPr>
          <w:rFonts w:eastAsia="Times New Roman"/>
          <w:sz w:val="30"/>
          <w:szCs w:val="30"/>
        </w:rPr>
        <w:t>s, including professors and scholars from Chinese Academy of Sciences, Tsinghua University and other top research and educational institutions work here as adjunct professors of the university.</w:t>
      </w:r>
    </w:p>
    <w:p>
      <w:pPr>
        <w:spacing w:line="360" w:lineRule="auto"/>
        <w:ind w:right="100" w:rightChars="50" w:firstLine="600" w:firstLineChars="200"/>
        <w:jc w:val="both"/>
        <w:rPr>
          <w:rFonts w:eastAsiaTheme="minorEastAsia"/>
          <w:sz w:val="30"/>
          <w:szCs w:val="30"/>
        </w:rPr>
      </w:pPr>
      <w:r>
        <w:rPr>
          <w:rFonts w:eastAsia="Times New Roman"/>
          <w:sz w:val="30"/>
          <w:szCs w:val="30"/>
        </w:rPr>
        <w:t>Owing to various disciplines and faculty with</w:t>
      </w:r>
      <w:r>
        <w:rPr>
          <w:sz w:val="30"/>
          <w:szCs w:val="30"/>
        </w:rPr>
        <w:t xml:space="preserve"> academic and professional excellence, the university </w:t>
      </w:r>
      <w:r>
        <w:rPr>
          <w:rFonts w:eastAsia="Times New Roman"/>
          <w:sz w:val="30"/>
          <w:szCs w:val="30"/>
        </w:rPr>
        <w:t>establishes close cooperation with more than 30 local government departments, research institutions and enterprises.</w:t>
      </w:r>
    </w:p>
    <w:p>
      <w:pPr>
        <w:spacing w:line="360" w:lineRule="auto"/>
        <w:ind w:right="100" w:rightChars="50" w:firstLine="600" w:firstLineChars="200"/>
        <w:jc w:val="both"/>
        <w:rPr>
          <w:rFonts w:eastAsia="Times New Roman"/>
          <w:sz w:val="30"/>
          <w:szCs w:val="30"/>
        </w:rPr>
      </w:pPr>
      <w:r>
        <w:rPr>
          <w:sz w:val="30"/>
          <w:szCs w:val="30"/>
        </w:rPr>
        <w:t>There are more than 28 research institutions in the university, including some key laboratories and key research bases at the provincial level,</w:t>
      </w:r>
      <w:r>
        <w:rPr>
          <w:rFonts w:hint="eastAsia"/>
          <w:sz w:val="30"/>
          <w:szCs w:val="30"/>
          <w:lang w:val="en-US" w:eastAsia="zh-CN"/>
        </w:rPr>
        <w:t xml:space="preserve"> </w:t>
      </w:r>
      <w:r>
        <w:rPr>
          <w:sz w:val="30"/>
          <w:szCs w:val="30"/>
        </w:rPr>
        <w:t xml:space="preserve">including </w:t>
      </w:r>
      <w:r>
        <w:rPr>
          <w:rFonts w:eastAsia="微软雅黑"/>
          <w:sz w:val="30"/>
          <w:szCs w:val="30"/>
          <w:shd w:val="clear" w:color="auto" w:fill="FFFFFF"/>
        </w:rPr>
        <w:t>Protectio</w:t>
      </w:r>
      <w:r>
        <w:rPr>
          <w:rFonts w:hint="eastAsia" w:eastAsia="微软雅黑"/>
          <w:sz w:val="30"/>
          <w:szCs w:val="30"/>
          <w:shd w:val="clear" w:color="auto" w:fill="FFFFFF"/>
          <w:lang w:val="en-US" w:eastAsia="zh-CN"/>
        </w:rPr>
        <w:t>n</w:t>
      </w:r>
      <w:r>
        <w:rPr>
          <w:rFonts w:eastAsia="微软雅黑"/>
          <w:sz w:val="30"/>
          <w:szCs w:val="30"/>
          <w:shd w:val="clear" w:color="auto" w:fill="FFFFFF"/>
        </w:rPr>
        <w:t xml:space="preserve"> and Utilization of </w:t>
      </w:r>
      <w:r>
        <w:rPr>
          <w:rFonts w:eastAsia="Times New Roman"/>
          <w:sz w:val="30"/>
          <w:szCs w:val="30"/>
        </w:rPr>
        <w:t>Fish Resources in the Upper Reaches of the Yangtze River</w:t>
      </w:r>
      <w:r>
        <w:rPr>
          <w:rFonts w:hint="eastAsia" w:eastAsiaTheme="minorEastAsia"/>
          <w:sz w:val="30"/>
          <w:szCs w:val="30"/>
        </w:rPr>
        <w:t xml:space="preserve"> </w:t>
      </w:r>
      <w:r>
        <w:rPr>
          <w:rFonts w:eastAsia="Times New Roman"/>
          <w:sz w:val="30"/>
          <w:szCs w:val="30"/>
        </w:rPr>
        <w:t>Laboratory, Data Recovery Laboratory,</w:t>
      </w:r>
      <w:r>
        <w:rPr>
          <w:rFonts w:hint="eastAsia" w:eastAsiaTheme="minorEastAsia"/>
          <w:sz w:val="30"/>
          <w:szCs w:val="30"/>
        </w:rPr>
        <w:t xml:space="preserve"> </w:t>
      </w:r>
      <w:r>
        <w:rPr>
          <w:sz w:val="30"/>
          <w:szCs w:val="30"/>
        </w:rPr>
        <w:t>Numerical Simulation Laboratory, Research and Utilization of Characteristic Agricultural Resources Laboratory，Recycling of Fruit Wastes Laboratory,</w:t>
      </w:r>
      <w:r>
        <w:rPr>
          <w:rFonts w:eastAsia="Times New Roman"/>
          <w:sz w:val="30"/>
          <w:szCs w:val="30"/>
        </w:rPr>
        <w:t xml:space="preserve"> Zhang Daqian Research Center and E-mei Martial Arts Culture Popularization Base</w:t>
      </w:r>
      <w:r>
        <w:rPr>
          <w:sz w:val="30"/>
          <w:szCs w:val="30"/>
        </w:rPr>
        <w:t>. In addition to this, the university is home to 5 provincial-level scientific research innovation teams and 1 academician expert workstation.</w:t>
      </w:r>
    </w:p>
    <w:bookmarkEnd w:id="0"/>
    <w:p>
      <w:pPr>
        <w:spacing w:line="360" w:lineRule="auto"/>
        <w:ind w:right="100" w:rightChars="50" w:firstLine="600" w:firstLineChars="20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The university is active in international cooperation and exchanges in education. To date, it has set up </w:t>
      </w:r>
      <w:r>
        <w:rPr>
          <w:rFonts w:hint="eastAsia"/>
          <w:sz w:val="30"/>
          <w:szCs w:val="30"/>
          <w:lang w:val="en-US" w:eastAsia="zh-CN"/>
        </w:rPr>
        <w:t>about</w:t>
      </w:r>
      <w:r>
        <w:rPr>
          <w:sz w:val="30"/>
          <w:szCs w:val="30"/>
        </w:rPr>
        <w:t xml:space="preserve"> 30 programs with </w:t>
      </w:r>
      <w:r>
        <w:rPr>
          <w:rFonts w:hint="eastAsia"/>
          <w:sz w:val="30"/>
          <w:szCs w:val="30"/>
          <w:lang w:val="en-US" w:eastAsia="zh-CN"/>
        </w:rPr>
        <w:t>over 30</w:t>
      </w:r>
      <w:r>
        <w:rPr>
          <w:rFonts w:hint="eastAsia"/>
          <w:sz w:val="30"/>
          <w:szCs w:val="30"/>
        </w:rPr>
        <w:t xml:space="preserve"> </w:t>
      </w:r>
      <w:r>
        <w:rPr>
          <w:sz w:val="30"/>
          <w:szCs w:val="30"/>
        </w:rPr>
        <w:t>universities and educational institutions in more than 10 countries, including some students internship programs with the United States,</w:t>
      </w:r>
      <w:r>
        <w:rPr>
          <w:rFonts w:hint="eastAsia"/>
          <w:sz w:val="30"/>
          <w:szCs w:val="30"/>
        </w:rPr>
        <w:t xml:space="preserve"> </w:t>
      </w:r>
      <w:r>
        <w:rPr>
          <w:sz w:val="30"/>
          <w:szCs w:val="30"/>
        </w:rPr>
        <w:t>South Korea, Thailand, Laos, Singapore, the United Arab Emirates and Nepal.</w:t>
      </w:r>
    </w:p>
    <w:p>
      <w:pPr>
        <w:spacing w:line="360" w:lineRule="auto"/>
        <w:ind w:right="100" w:rightChars="50" w:firstLine="600" w:firstLineChars="200"/>
        <w:jc w:val="both"/>
        <w:rPr>
          <w:rFonts w:hint="default" w:ascii="Times New Roman" w:hAnsi="Times New Roman" w:eastAsia="Times New Roman" w:cs="Times New Roman"/>
          <w:sz w:val="28"/>
        </w:rPr>
      </w:pPr>
      <w:r>
        <w:rPr>
          <w:rFonts w:eastAsia="Times New Roman"/>
          <w:sz w:val="30"/>
          <w:szCs w:val="30"/>
        </w:rPr>
        <w:t>For</w:t>
      </w:r>
      <w:r>
        <w:rPr>
          <w:rFonts w:hint="eastAsia" w:eastAsia="Times New Roman"/>
          <w:sz w:val="30"/>
          <w:szCs w:val="30"/>
        </w:rPr>
        <w:t xml:space="preserve"> </w:t>
      </w:r>
      <w:r>
        <w:rPr>
          <w:rFonts w:eastAsia="Times New Roman"/>
          <w:sz w:val="30"/>
          <w:szCs w:val="30"/>
        </w:rPr>
        <w:t>a</w:t>
      </w:r>
      <w:r>
        <w:rPr>
          <w:rFonts w:hint="eastAsia" w:eastAsia="Times New Roman"/>
          <w:sz w:val="30"/>
          <w:szCs w:val="30"/>
        </w:rPr>
        <w:t xml:space="preserve"> </w:t>
      </w:r>
      <w:r>
        <w:rPr>
          <w:rFonts w:eastAsia="Times New Roman"/>
          <w:sz w:val="30"/>
          <w:szCs w:val="30"/>
        </w:rPr>
        <w:t>better</w:t>
      </w:r>
      <w:r>
        <w:rPr>
          <w:rFonts w:hint="eastAsia" w:eastAsiaTheme="minorEastAsia"/>
          <w:sz w:val="30"/>
          <w:szCs w:val="30"/>
        </w:rPr>
        <w:t xml:space="preserve"> </w:t>
      </w:r>
      <w:r>
        <w:rPr>
          <w:rFonts w:eastAsia="Times New Roman"/>
          <w:sz w:val="30"/>
          <w:szCs w:val="30"/>
        </w:rPr>
        <w:t>development,</w:t>
      </w:r>
      <w:r>
        <w:rPr>
          <w:rFonts w:hint="eastAsia" w:eastAsiaTheme="minorEastAsia"/>
          <w:sz w:val="30"/>
          <w:szCs w:val="30"/>
        </w:rPr>
        <w:t xml:space="preserve"> </w:t>
      </w:r>
      <w:r>
        <w:rPr>
          <w:rFonts w:eastAsia="Times New Roman"/>
          <w:sz w:val="30"/>
          <w:szCs w:val="30"/>
        </w:rPr>
        <w:t>a</w:t>
      </w:r>
      <w:r>
        <w:rPr>
          <w:rFonts w:hint="eastAsia" w:eastAsiaTheme="minorEastAsia"/>
          <w:sz w:val="30"/>
          <w:szCs w:val="30"/>
        </w:rPr>
        <w:t xml:space="preserve"> </w:t>
      </w:r>
      <w:r>
        <w:rPr>
          <w:rFonts w:eastAsia="Times New Roman"/>
          <w:sz w:val="30"/>
          <w:szCs w:val="30"/>
        </w:rPr>
        <w:t>new</w:t>
      </w:r>
      <w:r>
        <w:rPr>
          <w:rFonts w:hint="eastAsia" w:eastAsiaTheme="minorEastAsia"/>
          <w:sz w:val="30"/>
          <w:szCs w:val="30"/>
        </w:rPr>
        <w:t xml:space="preserve"> </w:t>
      </w:r>
      <w:r>
        <w:rPr>
          <w:rFonts w:eastAsia="Times New Roman"/>
          <w:sz w:val="30"/>
          <w:szCs w:val="30"/>
        </w:rPr>
        <w:t>campus</w:t>
      </w:r>
      <w:r>
        <w:rPr>
          <w:rFonts w:hint="eastAsia" w:eastAsiaTheme="minorEastAsia"/>
          <w:sz w:val="30"/>
          <w:szCs w:val="30"/>
        </w:rPr>
        <w:t xml:space="preserve"> </w:t>
      </w:r>
      <w:r>
        <w:rPr>
          <w:rFonts w:eastAsia="Times New Roman"/>
          <w:sz w:val="30"/>
          <w:szCs w:val="30"/>
        </w:rPr>
        <w:t>featuring</w:t>
      </w:r>
      <w:r>
        <w:rPr>
          <w:rFonts w:hint="eastAsia" w:eastAsia="Times New Roman"/>
          <w:sz w:val="30"/>
          <w:szCs w:val="30"/>
        </w:rPr>
        <w:t xml:space="preserve"> </w:t>
      </w:r>
      <w:r>
        <w:rPr>
          <w:rFonts w:eastAsia="Times New Roman"/>
          <w:sz w:val="30"/>
          <w:szCs w:val="30"/>
        </w:rPr>
        <w:t>smart technology</w:t>
      </w:r>
      <w:r>
        <w:rPr>
          <w:rFonts w:hint="eastAsia" w:eastAsia="Times New Roman"/>
          <w:sz w:val="30"/>
          <w:szCs w:val="30"/>
        </w:rPr>
        <w:t xml:space="preserve"> </w:t>
      </w:r>
      <w:r>
        <w:rPr>
          <w:rFonts w:eastAsia="Times New Roman"/>
          <w:sz w:val="30"/>
          <w:szCs w:val="30"/>
        </w:rPr>
        <w:t>and</w:t>
      </w:r>
      <w:r>
        <w:rPr>
          <w:rFonts w:hint="eastAsia" w:eastAsia="Times New Roman"/>
          <w:sz w:val="30"/>
          <w:szCs w:val="30"/>
        </w:rPr>
        <w:t xml:space="preserve"> </w:t>
      </w:r>
      <w:r>
        <w:rPr>
          <w:rFonts w:eastAsia="Times New Roman"/>
          <w:sz w:val="30"/>
          <w:szCs w:val="30"/>
        </w:rPr>
        <w:t>ecological design has been under construction from</w:t>
      </w:r>
      <w:r>
        <w:rPr>
          <w:rFonts w:hint="eastAsia" w:eastAsia="Times New Roman"/>
          <w:sz w:val="30"/>
          <w:szCs w:val="30"/>
        </w:rPr>
        <w:t xml:space="preserve"> </w:t>
      </w:r>
      <w:r>
        <w:rPr>
          <w:rFonts w:eastAsia="Times New Roman"/>
          <w:sz w:val="30"/>
          <w:szCs w:val="30"/>
        </w:rPr>
        <w:t>2015. When</w:t>
      </w:r>
      <w:r>
        <w:rPr>
          <w:rFonts w:hint="eastAsia" w:eastAsia="Times New Roman"/>
          <w:sz w:val="30"/>
          <w:szCs w:val="30"/>
        </w:rPr>
        <w:t xml:space="preserve"> </w:t>
      </w:r>
      <w:r>
        <w:rPr>
          <w:rFonts w:eastAsia="Times New Roman"/>
          <w:sz w:val="30"/>
          <w:szCs w:val="30"/>
        </w:rPr>
        <w:t>finished,</w:t>
      </w:r>
      <w:r>
        <w:rPr>
          <w:rFonts w:hint="eastAsia" w:eastAsia="Times New Roman"/>
          <w:sz w:val="30"/>
          <w:szCs w:val="30"/>
        </w:rPr>
        <w:t xml:space="preserve"> </w:t>
      </w:r>
      <w:r>
        <w:rPr>
          <w:rFonts w:eastAsia="Times New Roman"/>
          <w:sz w:val="30"/>
          <w:szCs w:val="30"/>
        </w:rPr>
        <w:t>it will cover an area of 2280 acres in total with the school building area about 0.75 million square meters and</w:t>
      </w:r>
      <w:r>
        <w:rPr>
          <w:rFonts w:hint="eastAsia" w:eastAsiaTheme="minorEastAsia"/>
          <w:sz w:val="30"/>
          <w:szCs w:val="30"/>
        </w:rPr>
        <w:t xml:space="preserve"> </w:t>
      </w:r>
      <w:r>
        <w:rPr>
          <w:rFonts w:eastAsia="Times New Roman"/>
          <w:sz w:val="30"/>
          <w:szCs w:val="30"/>
        </w:rPr>
        <w:t>hold</w:t>
      </w:r>
      <w:r>
        <w:rPr>
          <w:rFonts w:hint="eastAsia" w:eastAsiaTheme="minorEastAsia"/>
          <w:sz w:val="30"/>
          <w:szCs w:val="30"/>
        </w:rPr>
        <w:t xml:space="preserve"> </w:t>
      </w:r>
      <w:r>
        <w:rPr>
          <w:rFonts w:eastAsia="Times New Roman"/>
          <w:sz w:val="30"/>
          <w:szCs w:val="30"/>
        </w:rPr>
        <w:t>24000 students at its best, which provides</w:t>
      </w:r>
      <w:r>
        <w:rPr>
          <w:rFonts w:hint="eastAsia" w:eastAsiaTheme="minorEastAsia"/>
          <w:sz w:val="30"/>
          <w:szCs w:val="30"/>
        </w:rPr>
        <w:t xml:space="preserve"> </w:t>
      </w:r>
      <w:r>
        <w:rPr>
          <w:rFonts w:eastAsia="Times New Roman"/>
          <w:sz w:val="30"/>
          <w:szCs w:val="30"/>
        </w:rPr>
        <w:t>an inspiring and motivating blueprint for all</w:t>
      </w:r>
      <w:r>
        <w:rPr>
          <w:rFonts w:hint="eastAsia" w:eastAsiaTheme="minorEastAsia"/>
          <w:sz w:val="30"/>
          <w:szCs w:val="30"/>
        </w:rPr>
        <w:t xml:space="preserve"> </w:t>
      </w:r>
      <w:r>
        <w:rPr>
          <w:rFonts w:eastAsia="Times New Roman"/>
          <w:sz w:val="30"/>
          <w:szCs w:val="30"/>
        </w:rPr>
        <w:t>staff and students.</w:t>
      </w:r>
      <w:bookmarkStart w:id="1" w:name="page3"/>
      <w:bookmarkEnd w:id="1"/>
    </w:p>
    <w:p>
      <w:pPr>
        <w:spacing w:line="360" w:lineRule="auto"/>
        <w:ind w:right="100" w:rightChars="50"/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default"/>
          <w:sz w:val="30"/>
          <w:szCs w:val="30"/>
          <w:lang w:val="en-US" w:eastAsia="zh-CN"/>
        </w:rPr>
        <w:t>院系及专业设置 </w:t>
      </w:r>
    </w:p>
    <w:p>
      <w:pPr>
        <w:spacing w:line="360" w:lineRule="auto"/>
        <w:ind w:right="100" w:rightChars="50"/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default"/>
          <w:sz w:val="30"/>
          <w:szCs w:val="30"/>
          <w:lang w:val="en-US" w:eastAsia="zh-CN"/>
        </w:rPr>
        <w:t>Schools and Programs</w:t>
      </w:r>
    </w:p>
    <w:p>
      <w:pPr>
        <w:spacing w:line="360" w:lineRule="auto"/>
        <w:ind w:right="100" w:rightChars="50" w:firstLine="600" w:firstLineChars="200"/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1.张大千美术学院 Zhang Daqian Academy of Fine Arts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美术学Fine Arts   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视觉传达设计 Visual Communication Design  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动画  Animation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环境设计Environmental Design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产品设计 Product Design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服装与服饰设计 Fashion Design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2.建筑工程学院   School of Architecture 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工程造价 Project Cost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土木工程 Civil Engineering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3.化学化工学院 School of Chemistry and Chemical Engineering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化学Chemistry Education 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应用化学Application of Chemical Technology 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资源循环科学与技术Resource Recycling Science and Technology 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环境科学 Environmental Science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4.计算机科学学院 School of Computer Sciences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计算机科学与技术Computer Science and Technology 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网络工程Network Engineering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物联网工程 Internet of Things Engineering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软件工程Software Engineering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 xml:space="preserve">5.经济管理学院 School of Economics and Management 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经济学Economics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工商管理Business Administration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市场营销 Marketing 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电子商务E-commerce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6.生命科学学院 School of Life Science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生物科学Biological Sciences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生物技术Biological Technology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水产养殖学Aquaculture Science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7.数学与信息科学学院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School of Mathematics and Information Science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数学与应用数学Mathematics and Applied Mathematics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金融数学Mathematical Finance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8. 体育学院School of Physical Education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体育教育 Physical Education 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社会体育指导与管理Social Sports Guidance and Management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舞蹈表演（体育舞蹈方向）Dancing Performance(Sports Dance)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9. 外国语学院School of Foreign Languages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英语 English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翻译 Translation</w:t>
      </w:r>
    </w:p>
    <w:p>
      <w:pPr>
        <w:spacing w:line="360" w:lineRule="auto"/>
        <w:ind w:right="100" w:rightChars="50"/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default"/>
          <w:sz w:val="30"/>
          <w:szCs w:val="30"/>
          <w:lang w:val="en-US" w:eastAsia="zh-CN"/>
        </w:rPr>
        <w:t>商务英语 Business English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10. 文学院School of Chinese Language and Literature 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汉语言文学Chinese Language and Literature 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11.音乐学院School of Music 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音乐学Music Education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 音乐表演Musical Performance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 舞蹈表演Dancing Performance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12教育科学学院School of Education and Science</w:t>
      </w:r>
    </w:p>
    <w:p>
      <w:pPr>
        <w:spacing w:line="360" w:lineRule="auto"/>
        <w:ind w:right="100" w:rightChars="50"/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default"/>
          <w:sz w:val="30"/>
          <w:szCs w:val="30"/>
          <w:lang w:val="en-US" w:eastAsia="zh-CN"/>
        </w:rPr>
        <w:t>小学教育Primary Education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学前教育Preschool Education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应用心理学Applied Psychology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教育学Pedagogy</w:t>
      </w:r>
    </w:p>
    <w:p>
      <w:pPr>
        <w:spacing w:line="360" w:lineRule="auto"/>
        <w:ind w:right="100" w:rightChars="50"/>
        <w:jc w:val="both"/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13</w:t>
      </w:r>
      <w:r>
        <w:rPr>
          <w:rFonts w:hint="default"/>
          <w:sz w:val="30"/>
          <w:szCs w:val="30"/>
          <w:lang w:val="en-US" w:eastAsia="zh-CN"/>
        </w:rPr>
        <w:t>地理与资源科学学院 School of Geography and Resource Science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人文地理与城乡规划Human Geography and Urban-Rural Planning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地理科学Geography Science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测绘工程Surveying and Mapping Engineering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14.物理与电子信息工程学院 School of Physics and Electronic Information Engineering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通信工程Communication Engineering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物理学Physics Education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电子信息工程Electronic and Information Engineering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15范长江新闻学院 School of Journalism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播音与主持艺术Broadcasting and the Auspices of the Arts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广播电视新闻学Radio and Television Journalism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eastAsia"/>
          <w:sz w:val="30"/>
          <w:szCs w:val="30"/>
          <w:lang w:val="en-US" w:eastAsia="zh-CN"/>
        </w:rPr>
        <w:t>16</w:t>
      </w:r>
      <w:r>
        <w:rPr>
          <w:rFonts w:hint="default"/>
          <w:sz w:val="30"/>
          <w:szCs w:val="30"/>
          <w:lang w:val="en-US" w:eastAsia="zh-CN"/>
        </w:rPr>
        <w:t>政治与公共管理学院School of Politics and Public Administration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法学 Law</w:t>
      </w:r>
      <w:r>
        <w:rPr>
          <w:rFonts w:hint="default"/>
          <w:sz w:val="30"/>
          <w:szCs w:val="30"/>
          <w:lang w:val="en-US" w:eastAsia="zh-CN"/>
        </w:rPr>
        <w:br w:type="textWrapping"/>
      </w:r>
      <w:r>
        <w:rPr>
          <w:rFonts w:hint="default"/>
          <w:sz w:val="30"/>
          <w:szCs w:val="30"/>
          <w:lang w:val="en-US" w:eastAsia="zh-CN"/>
        </w:rPr>
        <w:t>历史学 History</w:t>
      </w:r>
    </w:p>
    <w:sectPr>
      <w:pgSz w:w="11900" w:h="16838"/>
      <w:pgMar w:top="1440" w:right="1700" w:bottom="1440" w:left="1800" w:header="0" w:footer="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A75"/>
    <w:rsid w:val="00004181"/>
    <w:rsid w:val="00014464"/>
    <w:rsid w:val="001262B3"/>
    <w:rsid w:val="001523F7"/>
    <w:rsid w:val="001A76A8"/>
    <w:rsid w:val="001B7BE5"/>
    <w:rsid w:val="001D7DE8"/>
    <w:rsid w:val="002C2A75"/>
    <w:rsid w:val="002F6887"/>
    <w:rsid w:val="00371257"/>
    <w:rsid w:val="003A3103"/>
    <w:rsid w:val="004072B8"/>
    <w:rsid w:val="00551A4C"/>
    <w:rsid w:val="005F393C"/>
    <w:rsid w:val="00614A83"/>
    <w:rsid w:val="006657D7"/>
    <w:rsid w:val="006B2470"/>
    <w:rsid w:val="007319EC"/>
    <w:rsid w:val="00775BE7"/>
    <w:rsid w:val="00777AC1"/>
    <w:rsid w:val="007C3449"/>
    <w:rsid w:val="007E0497"/>
    <w:rsid w:val="00813B57"/>
    <w:rsid w:val="0082471D"/>
    <w:rsid w:val="00834639"/>
    <w:rsid w:val="008350F5"/>
    <w:rsid w:val="00897B29"/>
    <w:rsid w:val="008B188E"/>
    <w:rsid w:val="009559A8"/>
    <w:rsid w:val="009E40DD"/>
    <w:rsid w:val="009E555F"/>
    <w:rsid w:val="00A60000"/>
    <w:rsid w:val="00A630C9"/>
    <w:rsid w:val="00A72469"/>
    <w:rsid w:val="00AD6122"/>
    <w:rsid w:val="00AF7D4C"/>
    <w:rsid w:val="00B97029"/>
    <w:rsid w:val="00C613B9"/>
    <w:rsid w:val="00C63E31"/>
    <w:rsid w:val="00C831D9"/>
    <w:rsid w:val="00CB3A14"/>
    <w:rsid w:val="00CC70A4"/>
    <w:rsid w:val="00D001B0"/>
    <w:rsid w:val="00E17291"/>
    <w:rsid w:val="00E85D88"/>
    <w:rsid w:val="00F12D37"/>
    <w:rsid w:val="00F83840"/>
    <w:rsid w:val="00FA1EB8"/>
    <w:rsid w:val="05C15F57"/>
    <w:rsid w:val="0F4D1A25"/>
    <w:rsid w:val="0F8009AE"/>
    <w:rsid w:val="153F1A51"/>
    <w:rsid w:val="197E1F8E"/>
    <w:rsid w:val="1A9E7253"/>
    <w:rsid w:val="29C7023B"/>
    <w:rsid w:val="3797243F"/>
    <w:rsid w:val="390C04A2"/>
    <w:rsid w:val="3FBB6D66"/>
    <w:rsid w:val="45226947"/>
    <w:rsid w:val="46B3502E"/>
    <w:rsid w:val="57A26FEE"/>
    <w:rsid w:val="597C2FE3"/>
    <w:rsid w:val="5D1D6521"/>
    <w:rsid w:val="6CA84A35"/>
    <w:rsid w:val="78E8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563C1" w:themeColor="hyperlink"/>
      <w:u w:val="single"/>
    </w:rPr>
  </w:style>
  <w:style w:type="character" w:customStyle="1" w:styleId="7">
    <w:name w:val="apple-converted-space"/>
    <w:basedOn w:val="4"/>
    <w:qFormat/>
    <w:uiPriority w:val="0"/>
  </w:style>
  <w:style w:type="character" w:customStyle="1" w:styleId="8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696</Words>
  <Characters>3971</Characters>
  <Lines>33</Lines>
  <Paragraphs>9</Paragraphs>
  <TotalTime>1</TotalTime>
  <ScaleCrop>false</ScaleCrop>
  <LinksUpToDate>false</LinksUpToDate>
  <CharactersWithSpaces>4658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2017-01-09T03:46:00Z</dcterms:created>
  <dc:creator>Administrator</dc:creator>
  <cp:lastModifiedBy>WPS_196820484</cp:lastModifiedBy>
  <cp:lastPrinted>2017-01-13T00:03:00Z</cp:lastPrinted>
  <dcterms:modified xsi:type="dcterms:W3CDTF">2018-10-17T02:25:16Z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